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064640" w:rsidP="009E0E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E0E23">
              <w:rPr>
                <w:rFonts w:asciiTheme="majorHAnsi" w:hAnsiTheme="majorHAnsi" w:cs="Arial"/>
                <w:b/>
                <w:sz w:val="18"/>
                <w:szCs w:val="18"/>
              </w:rPr>
              <w:t>Engleski jezik u hemiji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646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6464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9E0E23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6464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E0E23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064640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FD6EC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FD6EC2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646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9E0E23">
              <w:rPr>
                <w:rFonts w:asciiTheme="majorHAnsi" w:hAnsiTheme="majorHAnsi"/>
                <w:b/>
                <w:sz w:val="18"/>
                <w:szCs w:val="18"/>
              </w:rPr>
              <w:t>Nema.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646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E0E23">
              <w:rPr>
                <w:rFonts w:asciiTheme="majorHAnsi" w:hAnsiTheme="majorHAnsi"/>
                <w:b/>
                <w:sz w:val="18"/>
                <w:szCs w:val="18"/>
              </w:rPr>
              <w:t>Nema.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64640" w:rsidP="009E0E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E0E23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9E0E23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064640" w:rsidP="009E0E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E0E23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064640" w:rsidP="009E0E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E0E23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6464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64640" w:rsidP="00A2410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4105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6464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64640" w:rsidP="00A2410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67C25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64640" w:rsidP="00A2410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410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6464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64640" w:rsidP="00667C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E0E23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667C25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9E0E23">
              <w:rPr>
                <w:rFonts w:asciiTheme="majorHAnsi" w:hAnsiTheme="majorHAnsi"/>
                <w:b/>
                <w:sz w:val="18"/>
                <w:szCs w:val="18"/>
              </w:rPr>
              <w:t>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64640" w:rsidP="009E0E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E0E2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6464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064640" w:rsidP="00667C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E0E23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667C25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9E0E23">
              <w:rPr>
                <w:rFonts w:asciiTheme="majorHAnsi" w:hAnsiTheme="majorHAnsi" w:cs="Arial"/>
                <w:b/>
                <w:sz w:val="18"/>
                <w:szCs w:val="18"/>
              </w:rPr>
              <w:t>,42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646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9E0E23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64640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9E0E23">
              <w:rPr>
                <w:rFonts w:asciiTheme="majorHAnsi" w:hAnsiTheme="majorHAnsi" w:cs="Arial"/>
                <w:b/>
                <w:sz w:val="18"/>
                <w:szCs w:val="18"/>
              </w:rPr>
              <w:t>Hemija/Edukacija u hemiji; 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646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E0E23">
              <w:rPr>
                <w:rFonts w:asciiTheme="majorHAnsi" w:hAnsiTheme="majorHAnsi" w:cs="Arial"/>
                <w:b/>
                <w:sz w:val="18"/>
                <w:szCs w:val="18"/>
              </w:rPr>
              <w:t>dr. sc. Sanel Hadžiahmetović Jurida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64640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4105"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Uz korištenje relevantne stručne terminologije na engleskom jeziku, studenti će biti upoznati sa sljedećim tematskim oblastima: -područjem hemije u cjelini -raznim pojmovima, procesima i pojavama u oblasti hemije i njihovom važnošću -aktualnom problematikom u oblasti hemije -temeljnim konceptima u hemiji -sigurnosti u laboratoriji -SI sistemom  Ciljevi </w:t>
            </w:r>
            <w:r w:rsidR="00A24105" w:rsidRPr="00A24105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također uključuju osposobljavanje studenata da komuniciraju na engleskom jeziku na početnom, elementarnom nivou, da kažu nešto o sebi i o drugima, da razumiju tekstove i iznose ideje o pitanjima iz svoje struke i općenito.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64640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4105" w:rsidRPr="00A24105">
              <w:rPr>
                <w:rFonts w:asciiTheme="majorHAnsi" w:hAnsiTheme="majorHAnsi" w:cs="Arial"/>
                <w:b/>
                <w:sz w:val="18"/>
                <w:szCs w:val="18"/>
              </w:rPr>
              <w:t>Koristeći se terminologijom na engleskom jeziku, studenti će moći: -identificirati osnovne pojmove u oblasti hemije -vladati osnovnim leksičkim strukturama iz oblasti hemije -diskutirati o navedenim pojmovima, procesima i pojavama -definirati eventualna rješenja za pitanja iz oblasti kao budući stručnjaci u oblasti hemije -kritički se osvrnuti na postojeće procese u polju hemije -komentirati o aktuelnim pitanjima iz oblasti hemije -analizirati tematske cjeline iz strukovne oblasti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64640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4105" w:rsidRPr="00A24105">
              <w:rPr>
                <w:rFonts w:asciiTheme="majorHAnsi" w:hAnsiTheme="majorHAnsi" w:cs="Arial"/>
                <w:b/>
                <w:sz w:val="18"/>
                <w:szCs w:val="18"/>
              </w:rPr>
              <w:t>Uvod u predmet, literatura, organizacija i struktura predmeta, obaveze studenata. Hemijski elementi i Periodni sistem elemenata. Osnovna gramatika: glagol to be. Zemlja i njena atmosfera, množina imenica latinskog i grčkog porijekla. Present Simple Tense. Karbon i nitrogen.  Akademski vokabular: uzrok i posljedica. Lične zamjenice.  Sigurnost u laboratoriju. Temeljni koncepti u hemiji. Prisvojne zamjenice. Hemijske veze, međumolekularne sile. Glagoli to have i can. Revizija. Test.  Elektrohemija, elektroliza. SI i jedinice izvan SI sistema mjerenja, čitanje hemijaskih reakcija. Polimeri, destilacija i frakciona destilacija. Laboratorijska oprema, brojive i nebrojive imenice. Tvar, stanja materije, revizija glagolskih vremena, pasiv. Organska i neorganska hemija.  Frazalni glagoli i red riječi. Svakodnevna hemija. Modalni glagoli. Revizija. Test.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64640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4105" w:rsidRPr="00A24105">
              <w:rPr>
                <w:rFonts w:asciiTheme="majorHAnsi" w:hAnsiTheme="majorHAnsi" w:cs="Arial"/>
                <w:b/>
                <w:sz w:val="18"/>
                <w:szCs w:val="18"/>
              </w:rPr>
              <w:t>Predavanja i vježbe uz aktivno sudjelovanje i diskusiju studenata, konverzacija na engleskom jeziku, dva tokom semestra i sedmične konsultacije s predmetnim nastavnikom.  Samostalni rad se sastoji od pripreme za testove i završni ispit.  Nastava se izvodi na engleskom jeziku.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24105" w:rsidRPr="00A24105" w:rsidRDefault="00064640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24105"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Pismeni metod provjere znanja obuhvata pismenu provjeru znanja na dva testa od kojih se prvi polaže nakon prve polovine semestra i koji obuhvata do tada obrađenu tematiku na predavanjima i vježbama. Student na prvom testu može ostvariti maksimalno 20 bodova. Drugi test  se polaže krajem semestra, i obuhvata tematiku obrađenu u tom dijelu semestra na predavanjima i vježbama. I na drugom testu student može ostvariti maksimalno 20 bodova.  Svi studenti polažu oba testa, a ovakvom raspodjelom provjere znanja tokom semestra postiže se znatna ujednačenost nivoa znaja koje se testira, kao i uslovi pod kojima student polaže ispit.  Na taj način student ispunjava svoje predispitne obaveze i ostvaruje maksimalno 40 bodova, a do maksimalnih 50 bodova za predispitne obaveze student može ostvariti i 10 bodova maksimalno za redovno i aktivno učešće na predavanjima i vježbama. Završni ispit je pismeni, obuhvata tematiku obrađenu tokom cijelog semestra,  a svaki student na završnom ispitu može ostvariti 50 bodova. Ispunjenjem predispitnih obaveza i polaganjem završnog ispita student može ostvariti najviše 100 bodova. Provjere na svim oblicima znanja priznaju se kao kumulativni ispit ukoliko je postignuti rezultat pozitivan nakon svake pojedinačne provjere i iznosi najmanje 50% ukupno predviđenog i/ili traženog znanja i vještina. Da bi student položio predmet mora ostvariti minimalno 54 kumulativna boda od čega minimalno 25 bodova na završnom pismenom ispitu.  Konačna ocjena formira se na osnovu zbira ostvarenih bodova na aktivnostima u toku nastave, predispitnim provjerama i završnom, odnosno popravnom ispitu. Konačni uspjeh studenta izražava se brojnom, opisnom ili slovnom ocjenom, prema sljedećoj skali:  </w:t>
            </w:r>
          </w:p>
          <w:p w:rsidR="00A24105" w:rsidRPr="00A24105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A24105" w:rsidRPr="00A24105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Broj ostvarenih bodova   -Brojna ocjena    - Opisna ocjena       -Slovna ocjena </w:t>
            </w:r>
          </w:p>
          <w:p w:rsidR="00A24105" w:rsidRPr="00A24105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manje od  55                              5 (pet)                ne zadovoljava                 F  </w:t>
            </w:r>
          </w:p>
          <w:p w:rsidR="00A24105" w:rsidRPr="00A24105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4105">
              <w:rPr>
                <w:rFonts w:asciiTheme="majorHAnsi" w:hAnsiTheme="majorHAnsi" w:cs="Arial"/>
                <w:b/>
                <w:sz w:val="18"/>
                <w:szCs w:val="18"/>
              </w:rPr>
              <w:t>55-64                                            6 (šest)                dovoljan                             E</w:t>
            </w:r>
          </w:p>
          <w:p w:rsidR="00A24105" w:rsidRPr="00A24105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 65-74                                           7 (sedam)              dobar                               D </w:t>
            </w:r>
          </w:p>
          <w:p w:rsidR="00A24105" w:rsidRPr="00A24105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75-83                                            8 (osam)               vrlo dobar                       C     </w:t>
            </w:r>
          </w:p>
          <w:p w:rsidR="00A24105" w:rsidRPr="00A24105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85-93                                            9 (devet)                izvanredan                    B  </w:t>
            </w:r>
          </w:p>
          <w:p w:rsidR="00CB72ED" w:rsidRPr="00B96B4F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95-100                                         10 (deset)               odličan                           A  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064640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24105" w:rsidRPr="00A24105" w:rsidRDefault="00064640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4105"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Ocjena na ispitu zasnovana je na ukupnom broju bodova koje je student ostvario ispunjavanjem predispitnih obaveza (maksimalno 10 bodova na prisustvo i aktivno učešće na predavanjima i vježbama), maksimalno 40 bodova na dva testa (međuispita), i polaganjem završnog ispita (maksimalno 50 bod), što iznosi maksimalno 100 bodova, te se utvrđuje prema sljedećoj skali: </w:t>
            </w:r>
          </w:p>
          <w:p w:rsidR="00A24105" w:rsidRPr="00A24105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Prisutnost i aktivnot na predavanjima i vježbama: 10 </w:t>
            </w:r>
          </w:p>
          <w:p w:rsidR="00A24105" w:rsidRPr="00A24105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Prvi test: 20     Drugi test: 20 </w:t>
            </w:r>
          </w:p>
          <w:p w:rsidR="00CB72ED" w:rsidRPr="00B96B4F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ispit: 50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64640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24105" w:rsidRPr="00A24105" w:rsidRDefault="00064640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4105"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1. Daintith, John (2008). Oxford Dictionary of Chemistry, Oxford University Press </w:t>
            </w:r>
          </w:p>
          <w:p w:rsidR="00A24105" w:rsidRPr="00A24105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2. Mascull, Bill (1997). Key Words in Science and Technology. Collins Cobuild. </w:t>
            </w:r>
          </w:p>
          <w:p w:rsidR="00CB72ED" w:rsidRPr="00B96B4F" w:rsidRDefault="00A24105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4105">
              <w:rPr>
                <w:rFonts w:asciiTheme="majorHAnsi" w:hAnsiTheme="majorHAnsi" w:cs="Arial"/>
                <w:b/>
                <w:sz w:val="18"/>
                <w:szCs w:val="18"/>
              </w:rPr>
              <w:t xml:space="preserve">3. Cunningham, Sarah and Moor, Peter (2005), New Cutting Edge  Elementary, Students' Book  </w:t>
            </w:r>
            <w:r w:rsidR="00064640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6464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064640" w:rsidP="00A24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4105" w:rsidRPr="00A24105">
              <w:rPr>
                <w:rFonts w:asciiTheme="majorHAnsi" w:hAnsiTheme="majorHAnsi" w:cs="Arial"/>
                <w:b/>
                <w:sz w:val="18"/>
                <w:szCs w:val="18"/>
              </w:rPr>
              <w:t>prema preporuci predmetnog nastavnika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064640" w:rsidP="001153C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24105" w:rsidRPr="00A24105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1153C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A24105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A24105" w:rsidRPr="00A24105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1153CB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06464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543A8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A2410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C543A8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C543A8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1153C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1153C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1153C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EC2" w:rsidRDefault="00FD6EC2">
      <w:pPr>
        <w:spacing w:line="240" w:lineRule="auto"/>
      </w:pPr>
      <w:r>
        <w:separator/>
      </w:r>
    </w:p>
  </w:endnote>
  <w:endnote w:type="continuationSeparator" w:id="0">
    <w:p w:rsidR="00FD6EC2" w:rsidRDefault="00FD6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064640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153CB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064640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064640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153CB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064640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064640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064640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153C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064640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EC2" w:rsidRDefault="00FD6EC2">
      <w:pPr>
        <w:spacing w:after="0"/>
      </w:pPr>
      <w:r>
        <w:separator/>
      </w:r>
    </w:p>
  </w:footnote>
  <w:footnote w:type="continuationSeparator" w:id="0">
    <w:p w:rsidR="00FD6EC2" w:rsidRDefault="00FD6E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640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153CB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E5DDD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A87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03B5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67C25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3872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1F9F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0E23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24105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43A8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6EC2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A203F-44C9-495D-A949-7CF2AFC0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3781D-2C07-4C24-B207-3E875A0F7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2026-03-09T09:43:00Z</dcterms:created>
  <dcterms:modified xsi:type="dcterms:W3CDTF">2026-03-11T12:19:00Z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